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Aaron Fait, Ph.D.</w:t>
      </w:r>
    </w:p>
    <w:p>
      <w:pPr>
        <w:spacing w:after="240"/>
        <w:jc w:val="center"/>
      </w:pPr>
      <w:r>
        <w:rPr>
          <w:sz w:val="24"/>
          <w:szCs w:val="24"/>
        </w:rPr>
        <w:t xml:space="preserve">Professor of Plant Biochemistry and Metabolism</w:t>
      </w:r>
    </w:p>
    <w:p>
      <w:pPr>
        <w:spacing w:after="120"/>
        <w:jc w:val="center"/>
      </w:pPr>
      <w:r>
        <w:rPr>
          <w:sz w:val="22"/>
          <w:szCs w:val="22"/>
        </w:rPr>
        <w:t xml:space="preserve">Ben-Gurion University of the Negev, Israel</w:t>
      </w:r>
    </w:p>
    <w:p>
      <w:pPr>
        <w:spacing w:after="240"/>
        <w:jc w:val="center"/>
      </w:pPr>
      <w:r>
        <w:rPr>
          <w:sz w:val="22"/>
          <w:szCs w:val="22"/>
        </w:rPr>
        <w:t xml:space="preserve">Email: [verified at bgu.ac.il]</w:t>
      </w:r>
    </w:p>
    <w:p>
      <w:pPr>
        <w:pStyle w:val="Heading1"/>
      </w:pPr>
      <w:r>
        <w:t xml:space="preserve">Research Interests</w:t>
      </w:r>
    </w:p>
    <w:p>
      <w:pPr>
        <w:spacing w:after="240"/>
      </w:pPr>
      <w:r>
        <w:rPr>
          <w:sz w:val="22"/>
          <w:szCs w:val="22"/>
        </w:rPr>
        <w:t xml:space="preserve">Plant metabolism • Seed biology • Network analysis • Grape and grapevine physiology • Stress tolerance • Metabolomics • Systems biology</w:t>
      </w:r>
    </w:p>
    <w:p>
      <w:pPr>
        <w:pStyle w:val="Heading1"/>
      </w:pPr>
      <w:r>
        <w:t xml:space="preserve">Current Positions</w:t>
      </w:r>
    </w:p>
    <w:p>
      <w:pPr>
        <w:spacing w:after="80"/>
      </w:pPr>
      <w:r>
        <w:rPr>
          <w:b/>
          <w:bCs/>
          <w:sz w:val="22"/>
          <w:szCs w:val="22"/>
        </w:rPr>
        <w:t xml:space="preserve">Professor (Full)</w:t>
      </w:r>
    </w:p>
    <w:p>
      <w:pPr>
        <w:spacing w:after="120"/>
      </w:pPr>
      <w:r>
        <w:rPr>
          <w:sz w:val="22"/>
          <w:szCs w:val="22"/>
        </w:rPr>
        <w:t xml:space="preserve">Ben-Gurion University of the Negev, Israel (September 2008 - Present)</w:t>
      </w:r>
    </w:p>
    <w:p>
      <w:pPr>
        <w:spacing w:after="200"/>
      </w:pPr>
      <w:r>
        <w:rPr>
          <w:i/>
          <w:iCs/>
          <w:sz w:val="22"/>
          <w:szCs w:val="22"/>
        </w:rPr>
        <w:t xml:space="preserve">Jacob Blaustein Institutes for Desert Research • The French Associates Institute for Agriculture and Biotechnology of Dryland • Plant Biochemist</w:t>
      </w:r>
    </w:p>
    <w:p>
      <w:pPr>
        <w:spacing w:after="80"/>
      </w:pPr>
      <w:r>
        <w:rPr>
          <w:b/>
          <w:bCs/>
          <w:sz w:val="22"/>
          <w:szCs w:val="22"/>
        </w:rPr>
        <w:t xml:space="preserve">Professor</w:t>
      </w:r>
    </w:p>
    <w:p>
      <w:pPr>
        <w:spacing w:after="240"/>
      </w:pPr>
      <w:r>
        <w:rPr>
          <w:sz w:val="22"/>
          <w:szCs w:val="22"/>
        </w:rPr>
        <w:t xml:space="preserve">University of Udine, Italy (September 2014 - Present)
Department of Agricultural and Environmental Sciences</w:t>
      </w:r>
    </w:p>
    <w:p>
      <w:pPr>
        <w:pStyle w:val="Heading1"/>
      </w:pPr>
      <w:r>
        <w:t xml:space="preserve">Education</w:t>
      </w:r>
    </w:p>
    <w:p>
      <w:pPr>
        <w:spacing w:after="80"/>
      </w:pPr>
      <w:r>
        <w:rPr>
          <w:b/>
          <w:bCs/>
          <w:sz w:val="22"/>
          <w:szCs w:val="22"/>
        </w:rPr>
        <w:t xml:space="preserve">Ph.D., Plant Sciences</w:t>
      </w:r>
    </w:p>
    <w:p>
      <w:pPr>
        <w:spacing w:after="200"/>
      </w:pPr>
      <w:r>
        <w:rPr>
          <w:sz w:val="22"/>
          <w:szCs w:val="22"/>
        </w:rPr>
        <w:t xml:space="preserve">Weizmann Institute of Science, Israel (1999-2005)
Department of Plant Sciences</w:t>
      </w:r>
    </w:p>
    <w:p>
      <w:pPr>
        <w:spacing w:after="80"/>
      </w:pPr>
      <w:r>
        <w:rPr>
          <w:b/>
          <w:bCs/>
          <w:sz w:val="22"/>
          <w:szCs w:val="22"/>
        </w:rPr>
        <w:t xml:space="preserve">Marie Curie Ph.D. Fellowship</w:t>
      </w:r>
    </w:p>
    <w:p>
      <w:pPr>
        <w:spacing w:after="200"/>
      </w:pPr>
      <w:r>
        <w:rPr>
          <w:sz w:val="22"/>
          <w:szCs w:val="22"/>
        </w:rPr>
        <w:t xml:space="preserve">University of Leeds, United Kingdom (2002)
School of Biology</w:t>
      </w:r>
    </w:p>
    <w:p>
      <w:pPr>
        <w:spacing w:after="80"/>
      </w:pPr>
      <w:r>
        <w:rPr>
          <w:b/>
          <w:bCs/>
          <w:sz w:val="22"/>
          <w:szCs w:val="22"/>
        </w:rPr>
        <w:t xml:space="preserve">Bachelor's Degree</w:t>
      </w:r>
    </w:p>
    <w:p>
      <w:pPr>
        <w:spacing w:after="240"/>
      </w:pPr>
      <w:r>
        <w:rPr>
          <w:sz w:val="22"/>
          <w:szCs w:val="22"/>
        </w:rPr>
        <w:t xml:space="preserve">Tel Aviv University, Israel (1992-1996)
Department of Molecular Biology and Ecology of Plants</w:t>
      </w:r>
    </w:p>
    <w:p>
      <w:pPr>
        <w:pStyle w:val="Heading1"/>
      </w:pPr>
      <w:r>
        <w:t xml:space="preserve">Previous Academic Positions</w:t>
      </w:r>
    </w:p>
    <w:p>
      <w:pPr>
        <w:spacing w:after="80"/>
      </w:pPr>
      <w:r>
        <w:rPr>
          <w:b/>
          <w:bCs/>
          <w:sz w:val="22"/>
          <w:szCs w:val="22"/>
        </w:rPr>
        <w:t xml:space="preserve">Associate Professor</w:t>
      </w:r>
    </w:p>
    <w:p>
      <w:pPr>
        <w:spacing w:after="200"/>
      </w:pPr>
      <w:r>
        <w:rPr>
          <w:sz w:val="22"/>
          <w:szCs w:val="22"/>
        </w:rPr>
        <w:t xml:space="preserve">Ben-Gurion University of the Negev (2008-2014)
Jacob Blaustein Institutes for Desert Research</w:t>
      </w:r>
    </w:p>
    <w:p>
      <w:pPr>
        <w:spacing w:after="80"/>
      </w:pPr>
      <w:r>
        <w:rPr>
          <w:b/>
          <w:bCs/>
          <w:sz w:val="22"/>
          <w:szCs w:val="22"/>
        </w:rPr>
        <w:t xml:space="preserve">Visiting Professor</w:t>
      </w:r>
    </w:p>
    <w:p>
      <w:pPr>
        <w:spacing w:after="200"/>
      </w:pPr>
      <w:r>
        <w:rPr>
          <w:sz w:val="22"/>
          <w:szCs w:val="22"/>
        </w:rPr>
        <w:t xml:space="preserve">University of Verona, Italy (May 2014 - August 2014)
Department of Biotechnology
Coordinating Grapevine rootstock project and lecturing on metabolic networks to PhD students</w:t>
      </w:r>
    </w:p>
    <w:p>
      <w:pPr>
        <w:spacing w:after="80"/>
      </w:pPr>
      <w:r>
        <w:rPr>
          <w:b/>
          <w:bCs/>
          <w:sz w:val="22"/>
          <w:szCs w:val="22"/>
        </w:rPr>
        <w:t xml:space="preserve">Postdoctoral Researcher</w:t>
      </w:r>
    </w:p>
    <w:p>
      <w:pPr>
        <w:spacing w:after="200"/>
      </w:pPr>
      <w:r>
        <w:rPr>
          <w:sz w:val="22"/>
          <w:szCs w:val="22"/>
        </w:rPr>
        <w:t xml:space="preserve">Max Planck Institute of Molecular Plant Physiology, Germany</w:t>
      </w:r>
    </w:p>
    <w:p>
      <w:pPr>
        <w:spacing w:after="120"/>
      </w:pPr>
      <w:r>
        <w:rPr>
          <w:i/>
          <w:iCs/>
          <w:sz w:val="22"/>
          <w:szCs w:val="22"/>
        </w:rPr>
        <w:t xml:space="preserve">Division of Central Metabolism (October 2005 - October 2008)
Potsdam, Germany</w:t>
      </w:r>
    </w:p>
    <w:p>
      <w:pPr>
        <w:spacing w:after="240"/>
      </w:pPr>
      <w:r>
        <w:rPr>
          <w:i/>
          <w:iCs/>
          <w:sz w:val="22"/>
          <w:szCs w:val="22"/>
        </w:rPr>
        <w:t xml:space="preserve">Department of Molecular Physiology (October 2004 - August 2008)
München, Germany</w:t>
      </w:r>
    </w:p>
    <w:p>
      <w:pPr>
        <w:pageBreakBefore/>
      </w:pPr>
    </w:p>
    <w:p>
      <w:pPr>
        <w:pStyle w:val="Heading1"/>
      </w:pPr>
      <w:r>
        <w:t xml:space="preserve">Selected Publications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Recent Publications (2023-2025)</w:t>
      </w:r>
    </w:p>
    <w:p>
      <w:pPr>
        <w:spacing w:after="120"/>
      </w:pPr>
      <w:r>
        <w:rPr>
          <w:sz w:val="22"/>
          <w:szCs w:val="22"/>
        </w:rPr>
        <w:t xml:space="preserve">1. Roitman M, Teper-Bamnolker A, Doron-Faigenboim N, Sikron N, Fait A, et al. (2025). </w:t>
      </w:r>
      <w:r>
        <w:rPr>
          <w:i/>
          <w:iCs/>
          <w:sz w:val="22"/>
          <w:szCs w:val="22"/>
        </w:rPr>
        <w:t xml:space="preserve">Vacuolar invertase knockout enhances drought tolerance in potato plants. </w:t>
      </w:r>
      <w:r>
        <w:rPr>
          <w:sz w:val="22"/>
          <w:szCs w:val="22"/>
        </w:rPr>
        <w:t xml:space="preserve">bioRxiv, 2025.12.01.691554</w:t>
      </w:r>
    </w:p>
    <w:p>
      <w:pPr>
        <w:spacing w:after="120"/>
      </w:pPr>
      <w:r>
        <w:rPr>
          <w:sz w:val="22"/>
          <w:szCs w:val="22"/>
        </w:rPr>
        <w:t xml:space="preserve">2. Gonda I, Bar E, Davidovich-Rikanati R, Fait A, Katzir N, Lewinsohn E. (2025). </w:t>
      </w:r>
      <w:r>
        <w:rPr>
          <w:i/>
          <w:iCs/>
          <w:sz w:val="22"/>
          <w:szCs w:val="22"/>
        </w:rPr>
        <w:t xml:space="preserve">Functional characterization of a ripening-specific L-methionine aminotransferase and its role in volatile C3-thioether esters biosynthesis in melon fruits. </w:t>
      </w:r>
      <w:r>
        <w:rPr>
          <w:sz w:val="22"/>
          <w:szCs w:val="22"/>
        </w:rPr>
        <w:t xml:space="preserve">Plant Science, 112809</w:t>
      </w:r>
    </w:p>
    <w:p>
      <w:pPr>
        <w:spacing w:after="120"/>
      </w:pPr>
      <w:r>
        <w:rPr>
          <w:sz w:val="22"/>
          <w:szCs w:val="22"/>
        </w:rPr>
        <w:t xml:space="preserve">3. Reta K, Lupo Y, Persi NS, Lazarovitch N, Fait A. (2024). </w:t>
      </w:r>
      <w:r>
        <w:rPr>
          <w:i/>
          <w:iCs/>
          <w:sz w:val="22"/>
          <w:szCs w:val="22"/>
        </w:rPr>
        <w:t xml:space="preserve">Modulation of phenology and agronomical performance of Syrah grafted on two rootstocks under combined salinity and water stress conditions: A three-year field study. </w:t>
      </w:r>
      <w:r>
        <w:rPr>
          <w:sz w:val="22"/>
          <w:szCs w:val="22"/>
        </w:rPr>
        <w:t xml:space="preserve">Plant Stress, 101050</w:t>
      </w:r>
    </w:p>
    <w:p>
      <w:pPr>
        <w:spacing w:after="120"/>
      </w:pPr>
      <w:r>
        <w:rPr>
          <w:sz w:val="22"/>
          <w:szCs w:val="22"/>
        </w:rPr>
        <w:t xml:space="preserve">4. Reta K, Lazarovitch N, Fait A. (2024). </w:t>
      </w:r>
      <w:r>
        <w:rPr>
          <w:i/>
          <w:iCs/>
          <w:sz w:val="22"/>
          <w:szCs w:val="22"/>
        </w:rPr>
        <w:t xml:space="preserve">Metabolic and physiological analysis reveals distinct salinity tipping point in Vitis vinifera cv. Syrah to enter a stress response mode. </w:t>
      </w:r>
      <w:r>
        <w:rPr>
          <w:sz w:val="22"/>
          <w:szCs w:val="22"/>
        </w:rPr>
        <w:t xml:space="preserve">Plant Stress 16, 100864</w:t>
      </w:r>
    </w:p>
    <w:p>
      <w:pPr>
        <w:spacing w:after="120"/>
      </w:pPr>
      <w:r>
        <w:rPr>
          <w:sz w:val="22"/>
          <w:szCs w:val="22"/>
        </w:rPr>
        <w:t xml:space="preserve">5. Reta K, Netzer Y, Lazarovitch N, Fait A. (2024). </w:t>
      </w:r>
      <w:r>
        <w:rPr>
          <w:i/>
          <w:iCs/>
          <w:sz w:val="22"/>
          <w:szCs w:val="22"/>
        </w:rPr>
        <w:t xml:space="preserve">Canopy management practices in warm environment vineyards to improve grape yield and quality in a changing climate. A review: A vademecum to vine canopy management under the... </w:t>
      </w:r>
      <w:r>
        <w:rPr>
          <w:sz w:val="22"/>
          <w:szCs w:val="22"/>
        </w:rPr>
        <w:t xml:space="preserve">Sci. Hortic 341, 113998</w:t>
      </w:r>
    </w:p>
    <w:p>
      <w:pPr>
        <w:spacing w:after="120"/>
      </w:pPr>
      <w:r>
        <w:rPr>
          <w:sz w:val="22"/>
          <w:szCs w:val="22"/>
        </w:rPr>
        <w:t xml:space="preserve">6. Song C, Dong S, Schlisser A, Lupo Y, Rachmilevitch S, Lazarovitch N, et al. (2024). </w:t>
      </w:r>
      <w:r>
        <w:rPr>
          <w:i/>
          <w:iCs/>
          <w:sz w:val="22"/>
          <w:szCs w:val="22"/>
        </w:rPr>
        <w:t xml:space="preserve">Rootstock varietal ability in accumulation of chloride ions underpins improved physiology and metabolism of grapevine exposed to salinity. </w:t>
      </w:r>
      <w:r>
        <w:rPr>
          <w:sz w:val="22"/>
          <w:szCs w:val="22"/>
        </w:rPr>
        <w:t xml:space="preserve">Scientia Horticulturae 328, 112964</w:t>
      </w:r>
    </w:p>
    <w:p>
      <w:pPr>
        <w:spacing w:after="120"/>
      </w:pPr>
      <w:r>
        <w:rPr>
          <w:sz w:val="22"/>
          <w:szCs w:val="22"/>
        </w:rPr>
        <w:t xml:space="preserve">7. Lupo Y, Prashanth K, Lazarovitch N, Fait A, Rachmilevitch S. (2023). </w:t>
      </w:r>
      <w:r>
        <w:rPr>
          <w:i/>
          <w:iCs/>
          <w:sz w:val="22"/>
          <w:szCs w:val="22"/>
        </w:rPr>
        <w:t xml:space="preserve">Importance of leaf age in grapevines (Vitis spp.) under salt stress. </w:t>
      </w:r>
      <w:r>
        <w:rPr>
          <w:sz w:val="22"/>
          <w:szCs w:val="22"/>
        </w:rPr>
        <w:t xml:space="preserve">Scientia Horticulturae 321, 112325</w:t>
      </w:r>
    </w:p>
    <w:p>
      <w:pPr>
        <w:spacing w:after="120"/>
      </w:pPr>
      <w:r>
        <w:rPr>
          <w:sz w:val="22"/>
          <w:szCs w:val="22"/>
        </w:rPr>
        <w:t xml:space="preserve">8. Song C, Saloner A, Fait A, Bernstein N. (2023). </w:t>
      </w:r>
      <w:r>
        <w:rPr>
          <w:i/>
          <w:iCs/>
          <w:sz w:val="22"/>
          <w:szCs w:val="22"/>
        </w:rPr>
        <w:t xml:space="preserve">Nitrogen deficiency stimulates cannabinoid biosynthesis in medical cannabis plants by inducing a metabolic shift towards production of low-N metabolites. </w:t>
      </w:r>
      <w:r>
        <w:rPr>
          <w:sz w:val="22"/>
          <w:szCs w:val="22"/>
        </w:rPr>
        <w:t xml:space="preserve">Industrial Crops and Products 202, 116969</w:t>
      </w:r>
    </w:p>
    <w:p>
      <w:pPr>
        <w:spacing w:after="240"/>
      </w:pPr>
      <w:r>
        <w:rPr>
          <w:sz w:val="22"/>
          <w:szCs w:val="22"/>
        </w:rPr>
        <w:t xml:space="preserve">9. Camalle MD, Pivonia S, Zurgil A, Fait A, Tel-Zur N. (2022). </w:t>
      </w:r>
      <w:r>
        <w:rPr>
          <w:i/>
          <w:iCs/>
          <w:sz w:val="22"/>
          <w:szCs w:val="22"/>
        </w:rPr>
        <w:t xml:space="preserve">Rootstock identity in melon-pumpkin graft combinations determines fruit metabolite profile. </w:t>
      </w:r>
      <w:r>
        <w:rPr>
          <w:sz w:val="22"/>
          <w:szCs w:val="22"/>
        </w:rPr>
        <w:t xml:space="preserve">Frontiers in Plant Science 13, 1024588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Key Publications in Grapevine Stress Physiology</w:t>
      </w:r>
    </w:p>
    <w:p>
      <w:pPr>
        <w:spacing w:after="120"/>
      </w:pPr>
      <w:r>
        <w:rPr>
          <w:sz w:val="22"/>
          <w:szCs w:val="22"/>
        </w:rPr>
        <w:t xml:space="preserve">10. Lupo Y, Schlisser A, Dong S, Rachmilevitch S, Fait A, Lazarovitch N. (2022). </w:t>
      </w:r>
      <w:r>
        <w:rPr>
          <w:i/>
          <w:iCs/>
          <w:sz w:val="22"/>
          <w:szCs w:val="22"/>
        </w:rPr>
        <w:t xml:space="preserve">Root system response to salt stress in grapevines (Vitis spp.): A link between root structure and salt exclusion. </w:t>
      </w:r>
      <w:r>
        <w:rPr>
          <w:sz w:val="22"/>
          <w:szCs w:val="22"/>
        </w:rPr>
        <w:t xml:space="preserve">Plant Science 325, 111460</w:t>
      </w:r>
    </w:p>
    <w:p>
      <w:pPr>
        <w:spacing w:after="120"/>
      </w:pPr>
      <w:r>
        <w:rPr>
          <w:sz w:val="22"/>
          <w:szCs w:val="22"/>
        </w:rPr>
        <w:t xml:space="preserve">11. Hochberg A, Degu A, Fait A, Rachmilevitch S. (2013). </w:t>
      </w:r>
      <w:r>
        <w:rPr>
          <w:i/>
          <w:iCs/>
          <w:sz w:val="22"/>
          <w:szCs w:val="22"/>
        </w:rPr>
        <w:t xml:space="preserve">Near isohydric grapevine cultivar displays higher photosynthetic efficiency and photorespiration rates under drought stress as compared with near anisohydric grapevine cultivar. </w:t>
      </w:r>
      <w:r>
        <w:rPr>
          <w:sz w:val="22"/>
          <w:szCs w:val="22"/>
        </w:rPr>
        <w:t xml:space="preserve">Physiologia Plantarum 147 (4), 443-452</w:t>
      </w:r>
    </w:p>
    <w:p>
      <w:pPr>
        <w:spacing w:after="120"/>
      </w:pPr>
      <w:r>
        <w:rPr>
          <w:sz w:val="22"/>
          <w:szCs w:val="22"/>
        </w:rPr>
        <w:t xml:space="preserve">12. Degu A, Hochberg U, Wong DCJ, Alberti G, Lazarovitch N, Peterlunger E, et al. (2019). </w:t>
      </w:r>
      <w:r>
        <w:rPr>
          <w:i/>
          <w:iCs/>
          <w:sz w:val="22"/>
          <w:szCs w:val="22"/>
        </w:rPr>
        <w:t xml:space="preserve">Swift metabolite changes and leaf shedding are milestones in the acclimation process of grapevine under prolonged water stress. </w:t>
      </w:r>
      <w:r>
        <w:rPr>
          <w:sz w:val="22"/>
          <w:szCs w:val="22"/>
        </w:rPr>
        <w:t xml:space="preserve">BMC plant biology 19 (1), 69</w:t>
      </w:r>
    </w:p>
    <w:p>
      <w:pPr>
        <w:spacing w:after="240"/>
      </w:pPr>
      <w:r>
        <w:rPr>
          <w:sz w:val="22"/>
          <w:szCs w:val="22"/>
        </w:rPr>
        <w:t xml:space="preserve">13. Hochberg A, Degu A, Cramer GR, Rachmilevitch S, Fait A. (2015). </w:t>
      </w:r>
      <w:r>
        <w:rPr>
          <w:i/>
          <w:iCs/>
          <w:sz w:val="22"/>
          <w:szCs w:val="22"/>
        </w:rPr>
        <w:t xml:space="preserve">Cultivar specific metabolic changes in grapevines berry skins in relation to deficit irrigation and hydraulic behavior. </w:t>
      </w:r>
      <w:r>
        <w:rPr>
          <w:sz w:val="22"/>
          <w:szCs w:val="22"/>
        </w:rPr>
        <w:t xml:space="preserve">Plant Physiology and Biochemistry 88, 42-52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Metabolomics and Network Analysis</w:t>
      </w:r>
    </w:p>
    <w:p>
      <w:pPr>
        <w:spacing w:after="120"/>
      </w:pPr>
      <w:r>
        <w:rPr>
          <w:sz w:val="22"/>
          <w:szCs w:val="22"/>
        </w:rPr>
        <w:t xml:space="preserve">14. Aksenov AA, Laponogov I, Zhang Z, Doran SLF, Belluomo I, Veselkov D, et al. (2021). </w:t>
      </w:r>
      <w:r>
        <w:rPr>
          <w:i/>
          <w:iCs/>
          <w:sz w:val="22"/>
          <w:szCs w:val="22"/>
        </w:rPr>
        <w:t xml:space="preserve">Auto-deconvolution and molecular networking of gas chromatography–mass spectrometry data. </w:t>
      </w:r>
      <w:r>
        <w:rPr>
          <w:sz w:val="22"/>
          <w:szCs w:val="22"/>
        </w:rPr>
        <w:t xml:space="preserve">Nature biotechnology 39 (2), 169-173</w:t>
      </w:r>
    </w:p>
    <w:p>
      <w:pPr>
        <w:spacing w:after="120"/>
      </w:pPr>
      <w:r>
        <w:rPr>
          <w:sz w:val="22"/>
          <w:szCs w:val="22"/>
        </w:rPr>
        <w:t xml:space="preserve">15. Toubiana D, Fernie AR, Nikoloski Z, Fait A. (2013). </w:t>
      </w:r>
      <w:r>
        <w:rPr>
          <w:i/>
          <w:iCs/>
          <w:sz w:val="22"/>
          <w:szCs w:val="22"/>
        </w:rPr>
        <w:t xml:space="preserve">Network analysis: tackling complex data to study plant metabolism. </w:t>
      </w:r>
      <w:r>
        <w:rPr>
          <w:sz w:val="22"/>
          <w:szCs w:val="22"/>
        </w:rPr>
        <w:t xml:space="preserve">Trends in biotechnology 31 (1), 29-36</w:t>
      </w:r>
    </w:p>
    <w:p>
      <w:pPr>
        <w:spacing w:after="120"/>
      </w:pPr>
      <w:r>
        <w:rPr>
          <w:sz w:val="22"/>
          <w:szCs w:val="22"/>
        </w:rPr>
        <w:t xml:space="preserve">16. Toubiana D, Puzis R, Wen L, Sikron N, Kurmanbayeva A, Soltabayeva A, et al. (2019). </w:t>
      </w:r>
      <w:r>
        <w:rPr>
          <w:i/>
          <w:iCs/>
          <w:sz w:val="22"/>
          <w:szCs w:val="22"/>
        </w:rPr>
        <w:t xml:space="preserve">Combined network analysis and machine learning allows the prediction of metabolic pathways from tomato metabolomics data. </w:t>
      </w:r>
      <w:r>
        <w:rPr>
          <w:sz w:val="22"/>
          <w:szCs w:val="22"/>
        </w:rPr>
        <w:t xml:space="preserve">Communications biology 2 (1), 214</w:t>
      </w:r>
    </w:p>
    <w:p>
      <w:pPr>
        <w:spacing w:after="240"/>
      </w:pPr>
      <w:r>
        <w:rPr>
          <w:sz w:val="22"/>
          <w:szCs w:val="22"/>
        </w:rPr>
        <w:t xml:space="preserve">17. Fait A, Batushansky A, Shrestha V, Yobi A, Angelovici R. (2020). </w:t>
      </w:r>
      <w:r>
        <w:rPr>
          <w:i/>
          <w:iCs/>
          <w:sz w:val="22"/>
          <w:szCs w:val="22"/>
        </w:rPr>
        <w:t xml:space="preserve">Can metabolic tightening and expansion of co-expression network play a role in stress response and tolerance? </w:t>
      </w:r>
      <w:r>
        <w:rPr>
          <w:sz w:val="22"/>
          <w:szCs w:val="22"/>
        </w:rPr>
        <w:t xml:space="preserve">Plant Science 293, 110409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Seed Biology and Metabolism</w:t>
      </w:r>
    </w:p>
    <w:p>
      <w:pPr>
        <w:spacing w:after="120"/>
      </w:pPr>
      <w:r>
        <w:rPr>
          <w:sz w:val="22"/>
          <w:szCs w:val="22"/>
        </w:rPr>
        <w:t xml:space="preserve">18. Fait A, Angelovici R, Less H, Ohad I, Urbanczyk-Wochniak E, Fernie AR, Galili G. (2006). </w:t>
      </w:r>
      <w:r>
        <w:rPr>
          <w:i/>
          <w:iCs/>
          <w:sz w:val="22"/>
          <w:szCs w:val="22"/>
        </w:rPr>
        <w:t xml:space="preserve">Arabidopsis seed development and germination is associated with temporally distinct metabolic switches. </w:t>
      </w:r>
      <w:r>
        <w:rPr>
          <w:sz w:val="22"/>
          <w:szCs w:val="22"/>
        </w:rPr>
        <w:t xml:space="preserve">Plant physiology 142 (3), 839-854</w:t>
      </w:r>
    </w:p>
    <w:p>
      <w:pPr>
        <w:spacing w:after="120"/>
      </w:pPr>
      <w:r>
        <w:rPr>
          <w:sz w:val="22"/>
          <w:szCs w:val="22"/>
        </w:rPr>
        <w:t xml:space="preserve">19. Angelovici R, Fait A, Fernie AR, Galili G. (2011). </w:t>
      </w:r>
      <w:r>
        <w:rPr>
          <w:i/>
          <w:iCs/>
          <w:sz w:val="22"/>
          <w:szCs w:val="22"/>
        </w:rPr>
        <w:t xml:space="preserve">A seed high-lysine trait is negatively associated with the TCA cycle and slows down Arabidopsis seed germination. </w:t>
      </w:r>
      <w:r>
        <w:rPr>
          <w:sz w:val="22"/>
          <w:szCs w:val="22"/>
        </w:rPr>
        <w:t xml:space="preserve">New Phytologist 189 (1), 148-159</w:t>
      </w:r>
    </w:p>
    <w:p>
      <w:pPr>
        <w:spacing w:after="120"/>
      </w:pPr>
      <w:r>
        <w:rPr>
          <w:sz w:val="22"/>
          <w:szCs w:val="22"/>
        </w:rPr>
        <w:t xml:space="preserve">20. Toubiana D, Semel Y, Tohge T, Beleggia R, Cattivelli L, Rosental L, et al. (2012). </w:t>
      </w:r>
      <w:r>
        <w:rPr>
          <w:i/>
          <w:iCs/>
          <w:sz w:val="22"/>
          <w:szCs w:val="22"/>
        </w:rPr>
        <w:t xml:space="preserve">Metabolic profiling of a mapping population exposes new insights in the regulation of seed metabolism and seed, fruit, and plant relations. </w:t>
      </w:r>
      <w:r>
        <w:rPr>
          <w:sz w:val="22"/>
          <w:szCs w:val="22"/>
        </w:rPr>
        <w:t xml:space="preserve">PLoS genetics 8 (3), e1002612</w:t>
      </w:r>
    </w:p>
    <w:p>
      <w:pPr>
        <w:spacing w:after="240"/>
      </w:pPr>
      <w:r>
        <w:rPr>
          <w:sz w:val="22"/>
          <w:szCs w:val="22"/>
        </w:rPr>
        <w:t xml:space="preserve">21. Bai B, Sikron N, Gendler T, Kazachkova S, Barak G, Grafi G, et al. (2012). </w:t>
      </w:r>
      <w:r>
        <w:rPr>
          <w:i/>
          <w:iCs/>
          <w:sz w:val="22"/>
          <w:szCs w:val="22"/>
        </w:rPr>
        <w:t xml:space="preserve">Ecotypic variability in the metabolic response of seeds to diurnal hydration–dehydration cycles and its relationship to seed vigor. </w:t>
      </w:r>
      <w:r>
        <w:rPr>
          <w:sz w:val="22"/>
          <w:szCs w:val="22"/>
        </w:rPr>
        <w:t xml:space="preserve">Plant and cell physiology 53 (1), 38-52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GABA and Carbon-Nitrogen Metabolism</w:t>
      </w:r>
    </w:p>
    <w:p>
      <w:pPr>
        <w:spacing w:after="120"/>
      </w:pPr>
      <w:r>
        <w:rPr>
          <w:sz w:val="22"/>
          <w:szCs w:val="22"/>
        </w:rPr>
        <w:t xml:space="preserve">22. Michaeli S, Fait A, Lagor K, Nunes-Nesi A, Grillich N, Yellin A, et al. (2011). </w:t>
      </w:r>
      <w:r>
        <w:rPr>
          <w:i/>
          <w:iCs/>
          <w:sz w:val="22"/>
          <w:szCs w:val="22"/>
        </w:rPr>
        <w:t xml:space="preserve">A mitochondrial GABA permease connects the GABA shunt and the TCA cycle, and is essential for normal carbon metabolism. </w:t>
      </w:r>
      <w:r>
        <w:rPr>
          <w:sz w:val="22"/>
          <w:szCs w:val="22"/>
        </w:rPr>
        <w:t xml:space="preserve">The Plant Journal 67 (3), 485-498</w:t>
      </w:r>
    </w:p>
    <w:p>
      <w:pPr>
        <w:spacing w:after="120"/>
      </w:pPr>
      <w:r>
        <w:rPr>
          <w:sz w:val="22"/>
          <w:szCs w:val="22"/>
        </w:rPr>
        <w:t xml:space="preserve">23. Fait A, Fromm H, Walter D, Galili G, Fernie AR. (2008). </w:t>
      </w:r>
      <w:r>
        <w:rPr>
          <w:i/>
          <w:iCs/>
          <w:sz w:val="22"/>
          <w:szCs w:val="22"/>
        </w:rPr>
        <w:t xml:space="preserve">Highway or byway: the metabolic role of the GABA shunt in plants. </w:t>
      </w:r>
      <w:r>
        <w:rPr>
          <w:sz w:val="22"/>
          <w:szCs w:val="22"/>
        </w:rPr>
        <w:t xml:space="preserve">Trends in plant science 13 (1), 14-19</w:t>
      </w:r>
    </w:p>
    <w:p>
      <w:pPr>
        <w:spacing w:after="120"/>
      </w:pPr>
      <w:r>
        <w:rPr>
          <w:sz w:val="22"/>
          <w:szCs w:val="22"/>
        </w:rPr>
        <w:t xml:space="preserve">24. Fait A, Nesi AN, Angelovici R, Lehmann M, Pham PA, Song L, et al. (2011). </w:t>
      </w:r>
      <w:r>
        <w:rPr>
          <w:i/>
          <w:iCs/>
          <w:sz w:val="22"/>
          <w:szCs w:val="22"/>
        </w:rPr>
        <w:t xml:space="preserve">Targeted enhancement of glutamate-to-γ-aminobutyrate conversion in Arabidopsis seeds affects carbon–nitrogen balance and storage reserves in a development-dependent manner. </w:t>
      </w:r>
      <w:r>
        <w:rPr>
          <w:sz w:val="22"/>
          <w:szCs w:val="22"/>
        </w:rPr>
        <w:t xml:space="preserve">Plant physiology 157 (3), 1026-1042</w:t>
      </w:r>
    </w:p>
    <w:p>
      <w:pPr>
        <w:spacing w:after="240"/>
      </w:pPr>
      <w:r>
        <w:rPr>
          <w:sz w:val="22"/>
          <w:szCs w:val="22"/>
        </w:rPr>
        <w:t xml:space="preserve">25. Fait A, Sienkiewicz-Porzucek AR, Fernie AR. (2006). </w:t>
      </w:r>
      <w:r>
        <w:rPr>
          <w:i/>
          <w:iCs/>
          <w:sz w:val="22"/>
          <w:szCs w:val="22"/>
        </w:rPr>
        <w:t xml:space="preserve">Metabolomics approaches to advance understanding of nitrogen assimilation and carbon–nitrogen interactions. </w:t>
      </w:r>
      <w:r>
        <w:rPr>
          <w:sz w:val="22"/>
          <w:szCs w:val="22"/>
        </w:rPr>
        <w:t xml:space="preserve">Annual Plant Reviews online, 249-268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Additional High-Impact Publications</w:t>
      </w:r>
    </w:p>
    <w:p>
      <w:pPr>
        <w:spacing w:after="120"/>
      </w:pPr>
      <w:r>
        <w:rPr>
          <w:sz w:val="22"/>
          <w:szCs w:val="22"/>
        </w:rPr>
        <w:t xml:space="preserve">26. Reshef N, Agam N, Fait A. (2018). </w:t>
      </w:r>
      <w:r>
        <w:rPr>
          <w:i/>
          <w:iCs/>
          <w:sz w:val="22"/>
          <w:szCs w:val="22"/>
        </w:rPr>
        <w:t xml:space="preserve">Grape berry acclimation to excessive solar irradiance leads to repartitioning between major flavonoid groups. </w:t>
      </w:r>
      <w:r>
        <w:rPr>
          <w:sz w:val="22"/>
          <w:szCs w:val="22"/>
        </w:rPr>
        <w:t xml:space="preserve">Journal of Agricultural and Food Chemistry 66 (14), 3624-3636</w:t>
      </w:r>
    </w:p>
    <w:p>
      <w:pPr>
        <w:spacing w:after="120"/>
      </w:pPr>
      <w:r>
        <w:rPr>
          <w:sz w:val="22"/>
          <w:szCs w:val="22"/>
        </w:rPr>
        <w:t xml:space="preserve">27. Aidoo MK, Sherman T, Lazarovitch N, Fait A, Rachmilevitch S. (2018). </w:t>
      </w:r>
      <w:r>
        <w:rPr>
          <w:i/>
          <w:iCs/>
          <w:sz w:val="22"/>
          <w:szCs w:val="22"/>
        </w:rPr>
        <w:t xml:space="preserve">A combination of stomata deregulation and a distinctive modulation of amino acid metabolism are associated with enhanced tolerance of wheat varieties to transient drought. </w:t>
      </w:r>
      <w:r>
        <w:rPr>
          <w:sz w:val="22"/>
          <w:szCs w:val="22"/>
        </w:rPr>
        <w:t xml:space="preserve">Metabolomics 13 (11), 138</w:t>
      </w:r>
    </w:p>
    <w:p>
      <w:pPr>
        <w:spacing w:after="120"/>
      </w:pPr>
      <w:r>
        <w:rPr>
          <w:sz w:val="22"/>
          <w:szCs w:val="22"/>
        </w:rPr>
        <w:t xml:space="preserve">28. Reshef N, Walbaum N, Agam N, Fait A. (2017). </w:t>
      </w:r>
      <w:r>
        <w:rPr>
          <w:i/>
          <w:iCs/>
          <w:sz w:val="22"/>
          <w:szCs w:val="22"/>
        </w:rPr>
        <w:t xml:space="preserve">Sunlight modulates fruit metabolic profile and shapes the spatial pattern of compound accumulation within the grape cluster. </w:t>
      </w:r>
      <w:r>
        <w:rPr>
          <w:sz w:val="22"/>
          <w:szCs w:val="22"/>
        </w:rPr>
        <w:t xml:space="preserve">Frontiers in Plant Science 8, 70</w:t>
      </w:r>
    </w:p>
    <w:p>
      <w:pPr>
        <w:spacing w:after="120"/>
      </w:pPr>
      <w:r>
        <w:rPr>
          <w:sz w:val="22"/>
          <w:szCs w:val="22"/>
        </w:rPr>
        <w:t xml:space="preserve">29. Fait A, Hanhineva K, Beleggia R, Dai N, Rogachev V, Nikiforova VJ, et al. (2008). </w:t>
      </w:r>
      <w:r>
        <w:rPr>
          <w:i/>
          <w:iCs/>
          <w:sz w:val="22"/>
          <w:szCs w:val="22"/>
        </w:rPr>
        <w:t xml:space="preserve">Reconfiguration of the achene and receptacle metabolic networks during strawberry fruit development. </w:t>
      </w:r>
      <w:r>
        <w:rPr>
          <w:sz w:val="22"/>
          <w:szCs w:val="22"/>
        </w:rPr>
        <w:t xml:space="preserve">Plant physiology 148 (2), 730-750</w:t>
      </w:r>
    </w:p>
    <w:p>
      <w:pPr>
        <w:spacing w:after="240"/>
      </w:pPr>
      <w:r>
        <w:rPr>
          <w:sz w:val="22"/>
          <w:szCs w:val="22"/>
        </w:rPr>
        <w:t xml:space="preserve">30. Sweetlove LJ, Fait A, Nunes-Nesi A, Williams T, Fernie AR. (2007). </w:t>
      </w:r>
      <w:r>
        <w:rPr>
          <w:i/>
          <w:iCs/>
          <w:sz w:val="22"/>
          <w:szCs w:val="22"/>
        </w:rPr>
        <w:t xml:space="preserve">The mitochondrion: an integration point of cellular metabolism and signalling. </w:t>
      </w:r>
      <w:r>
        <w:rPr>
          <w:sz w:val="22"/>
          <w:szCs w:val="22"/>
        </w:rPr>
        <w:t xml:space="preserve">Critical Reviews in Plant Sciences 26 (1), 17-43</w:t>
      </w:r>
    </w:p>
    <w:p>
      <w:pPr>
        <w:pBdr>
          <w:top w:val="single" w:color="CCCCCC" w:sz="6" w:space="1"/>
        </w:pBdr>
        <w:spacing w:before="240" w:after="120"/>
      </w:pPr>
      <w:r>
        <w:rPr>
          <w:i/>
          <w:iCs/>
          <w:sz w:val="20"/>
          <w:szCs w:val="20"/>
        </w:rPr>
        <w:t xml:space="preserve">Note: This CV represents selected publications. For a complete list of publications and citations, please visit my Google Scholar profile.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Arial" w:cs="Arial" w:eastAsia="Arial" w:hAnsi="Arial"/>
      <w:b/>
      <w:bCs/>
      <w:color w:val="1F4788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00" w:after="100"/>
      <w:outlineLvl w:val="1"/>
    </w:pPr>
    <w:rPr>
      <w:rFonts w:ascii="Arial" w:cs="Arial" w:eastAsia="Arial" w:hAnsi="Arial"/>
      <w:b/>
      <w:bCs/>
      <w:color w:val="2E5C8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2026-02-05T09:50:35.340Z</dcterms:created>
  <dcterms:modified xsi:type="dcterms:W3CDTF">2026-02-05T09:50:35.341Z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